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15" w:rsidRDefault="00C44215" w:rsidP="00C55FAD">
      <w:pPr>
        <w:tabs>
          <w:tab w:val="left" w:pos="5812"/>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УМОВИ КОНКУРСУ</w:t>
      </w:r>
    </w:p>
    <w:p w:rsidR="00C44215" w:rsidRDefault="00C44215" w:rsidP="00C55FAD">
      <w:pPr>
        <w:tabs>
          <w:tab w:val="left" w:pos="5812"/>
        </w:tabs>
        <w:spacing w:after="0" w:line="240" w:lineRule="auto"/>
        <w:ind w:firstLine="567"/>
        <w:contextualSpacing/>
        <w:jc w:val="both"/>
        <w:rPr>
          <w:rFonts w:ascii="Times New Roman" w:hAnsi="Times New Roman" w:cs="Times New Roman"/>
          <w:b/>
          <w:sz w:val="24"/>
          <w:szCs w:val="24"/>
        </w:rPr>
      </w:pP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b/>
          <w:sz w:val="24"/>
          <w:szCs w:val="24"/>
        </w:rPr>
      </w:pPr>
      <w:r w:rsidRPr="000E29EA">
        <w:rPr>
          <w:rFonts w:ascii="Times New Roman" w:hAnsi="Times New Roman" w:cs="Times New Roman"/>
          <w:b/>
          <w:sz w:val="24"/>
          <w:szCs w:val="24"/>
        </w:rPr>
        <w:t>Процедура подання документів на конкурс із отримання ваучерів</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Відбір суб’єктів мікро- та малого підпр</w:t>
      </w:r>
      <w:r>
        <w:rPr>
          <w:rFonts w:ascii="Times New Roman" w:hAnsi="Times New Roman" w:cs="Times New Roman"/>
          <w:sz w:val="24"/>
          <w:szCs w:val="24"/>
        </w:rPr>
        <w:t>иємництва</w:t>
      </w:r>
      <w:r w:rsidRPr="000E29EA">
        <w:rPr>
          <w:rFonts w:ascii="Times New Roman" w:hAnsi="Times New Roman" w:cs="Times New Roman"/>
          <w:sz w:val="24"/>
          <w:szCs w:val="24"/>
        </w:rPr>
        <w:t xml:space="preserve"> проводиться на конкурсній основі. Для цього департаментом економічної політики Львівської обласної державної адміністрації проводиться конкурс з отримання ваучерів.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Прийом документів на участь у конкурсі триває на період воєнного стану за наявності фінансового ресурсу.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Для участі в конкурсі будь-який суб'єкт мікро- або малого підприємництва може звернутися до будь-якої </w:t>
      </w:r>
      <w:proofErr w:type="spellStart"/>
      <w:r w:rsidRPr="000E29EA">
        <w:rPr>
          <w:rFonts w:ascii="Times New Roman" w:hAnsi="Times New Roman" w:cs="Times New Roman"/>
          <w:sz w:val="24"/>
          <w:szCs w:val="24"/>
        </w:rPr>
        <w:t>прекваліфікованої</w:t>
      </w:r>
      <w:proofErr w:type="spellEnd"/>
      <w:r w:rsidRPr="000E29EA">
        <w:rPr>
          <w:rFonts w:ascii="Times New Roman" w:hAnsi="Times New Roman" w:cs="Times New Roman"/>
          <w:sz w:val="24"/>
          <w:szCs w:val="24"/>
        </w:rPr>
        <w:t xml:space="preserve"> сервісної компанії для отримання комерційної пропозиції, в якій повинні бути зазначені опис та вартість робіт чи послуг сервісної компанії.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Ті суб'єкти господарювання, які отримали комерційну пропозицію від перекваліфікованої сервісної компанії, подають паперовий та електронний пакет документів до департаменту економічної політики Львівської обласної державної адміністрації для участі в конкурсі. Подані документи реєструються в журналі реєстрації із зазначенням виключно порядкового номера в хронологічному порядку прийняття, опису вкладення (кількість сторінок, додатки тощо) та засвідчуються підписом керівника суб’єкта господарювання. Департамент економічної політики передає отримані пакети документів на конкурс від суб’єктів мікро- та малого підприємництва на розгляд членам експертної комісії.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b/>
          <w:sz w:val="24"/>
          <w:szCs w:val="24"/>
        </w:rPr>
      </w:pPr>
      <w:r w:rsidRPr="000E29EA">
        <w:rPr>
          <w:rFonts w:ascii="Times New Roman" w:hAnsi="Times New Roman" w:cs="Times New Roman"/>
          <w:b/>
          <w:sz w:val="24"/>
          <w:szCs w:val="24"/>
        </w:rPr>
        <w:t>Експертна комісія</w:t>
      </w:r>
    </w:p>
    <w:p w:rsidR="000E29EA" w:rsidRPr="000E29EA" w:rsidRDefault="000E29EA" w:rsidP="00C55FAD">
      <w:pPr>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Рейтингове оцінювання </w:t>
      </w:r>
      <w:proofErr w:type="spellStart"/>
      <w:r w:rsidRPr="000E29EA">
        <w:rPr>
          <w:rFonts w:ascii="Times New Roman" w:hAnsi="Times New Roman" w:cs="Times New Roman"/>
          <w:sz w:val="24"/>
          <w:szCs w:val="24"/>
        </w:rPr>
        <w:t>проєктів</w:t>
      </w:r>
      <w:proofErr w:type="spellEnd"/>
      <w:r w:rsidRPr="000E29EA">
        <w:rPr>
          <w:rFonts w:ascii="Times New Roman" w:hAnsi="Times New Roman" w:cs="Times New Roman"/>
          <w:sz w:val="24"/>
          <w:szCs w:val="24"/>
        </w:rPr>
        <w:t xml:space="preserve"> розвитку бізнесу проводить експертна комісія, яка затверджена наказом начальника Львівської обласної військової адміністрації у складі 5 осіб.</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Головою експертної комісії є представник департаменту економічної політики Львівської обласної державної адміністрації. Секретарем комісії є працівник департаменту економічної політики Львівської обласної військової адміністрації, якого призначає голова експертної комісії.</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lang w:eastAsia="ru-RU"/>
        </w:rPr>
        <w:t>Засідання експертної комісії є правочинним за умови присутності на ньому не менш як 3 членів складу експертної комісії.</w:t>
      </w:r>
    </w:p>
    <w:p w:rsidR="000E29EA" w:rsidRPr="000E29EA" w:rsidRDefault="000E29EA" w:rsidP="00C55FAD">
      <w:pPr>
        <w:spacing w:after="0" w:line="240" w:lineRule="auto"/>
        <w:ind w:firstLine="567"/>
        <w:contextualSpacing/>
        <w:jc w:val="both"/>
        <w:rPr>
          <w:rFonts w:ascii="Times New Roman" w:hAnsi="Times New Roman" w:cs="Times New Roman"/>
          <w:sz w:val="24"/>
          <w:szCs w:val="24"/>
        </w:rPr>
      </w:pP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b/>
          <w:sz w:val="24"/>
          <w:szCs w:val="24"/>
        </w:rPr>
      </w:pPr>
      <w:r w:rsidRPr="000E29EA">
        <w:rPr>
          <w:rFonts w:ascii="Times New Roman" w:hAnsi="Times New Roman" w:cs="Times New Roman"/>
          <w:b/>
          <w:sz w:val="24"/>
          <w:szCs w:val="24"/>
        </w:rPr>
        <w:t xml:space="preserve">Оцінювання </w:t>
      </w:r>
      <w:proofErr w:type="spellStart"/>
      <w:r w:rsidRPr="000E29EA">
        <w:rPr>
          <w:rFonts w:ascii="Times New Roman" w:hAnsi="Times New Roman" w:cs="Times New Roman"/>
          <w:b/>
          <w:sz w:val="24"/>
          <w:szCs w:val="24"/>
        </w:rPr>
        <w:t>проєктів</w:t>
      </w:r>
      <w:proofErr w:type="spellEnd"/>
      <w:r w:rsidRPr="000E29EA">
        <w:rPr>
          <w:rFonts w:ascii="Times New Roman" w:hAnsi="Times New Roman" w:cs="Times New Roman"/>
          <w:b/>
          <w:sz w:val="24"/>
          <w:szCs w:val="24"/>
        </w:rPr>
        <w:t xml:space="preserve"> розвитку бізнесу</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Дату засідання експертної комісії визначає департамент економічної політики Львівської обласної державної адміністрації.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Експертна комісія проводить аналіз </w:t>
      </w:r>
      <w:proofErr w:type="spellStart"/>
      <w:r w:rsidRPr="000E29EA">
        <w:rPr>
          <w:rFonts w:ascii="Times New Roman" w:hAnsi="Times New Roman" w:cs="Times New Roman"/>
          <w:sz w:val="24"/>
          <w:szCs w:val="24"/>
        </w:rPr>
        <w:t>проєктів</w:t>
      </w:r>
      <w:proofErr w:type="spellEnd"/>
      <w:r w:rsidRPr="000E29EA">
        <w:rPr>
          <w:rFonts w:ascii="Times New Roman" w:hAnsi="Times New Roman" w:cs="Times New Roman"/>
          <w:sz w:val="24"/>
          <w:szCs w:val="24"/>
        </w:rPr>
        <w:t xml:space="preserve"> розвитку бізнесу на предмет економічної ефективності та відповідності вимогам Програми. </w:t>
      </w:r>
    </w:p>
    <w:p w:rsid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Кожен член експертної комісії оцінює подані </w:t>
      </w:r>
      <w:proofErr w:type="spellStart"/>
      <w:r w:rsidRPr="000E29EA">
        <w:rPr>
          <w:rFonts w:ascii="Times New Roman" w:hAnsi="Times New Roman" w:cs="Times New Roman"/>
          <w:sz w:val="24"/>
          <w:szCs w:val="24"/>
        </w:rPr>
        <w:t>проєкти</w:t>
      </w:r>
      <w:proofErr w:type="spellEnd"/>
      <w:r w:rsidRPr="000E29EA">
        <w:rPr>
          <w:rFonts w:ascii="Times New Roman" w:hAnsi="Times New Roman" w:cs="Times New Roman"/>
          <w:sz w:val="24"/>
          <w:szCs w:val="24"/>
        </w:rPr>
        <w:t xml:space="preserve"> </w:t>
      </w:r>
      <w:r w:rsidR="00C55FAD">
        <w:rPr>
          <w:rFonts w:ascii="Times New Roman" w:hAnsi="Times New Roman" w:cs="Times New Roman"/>
          <w:sz w:val="24"/>
          <w:szCs w:val="24"/>
        </w:rPr>
        <w:t>розвитку бізнесу за формою.</w:t>
      </w:r>
    </w:p>
    <w:p w:rsidR="00C55FAD" w:rsidRDefault="00C55FAD" w:rsidP="00C55FAD">
      <w:pPr>
        <w:tabs>
          <w:tab w:val="left" w:pos="5812"/>
        </w:tabs>
        <w:spacing w:after="0" w:line="240" w:lineRule="auto"/>
        <w:ind w:firstLine="567"/>
        <w:contextualSpacing/>
        <w:jc w:val="both"/>
        <w:rPr>
          <w:rFonts w:ascii="Times New Roman" w:hAnsi="Times New Roman" w:cs="Times New Roman"/>
          <w:sz w:val="24"/>
          <w:szCs w:val="24"/>
        </w:rPr>
      </w:pPr>
    </w:p>
    <w:tbl>
      <w:tblPr>
        <w:tblW w:w="95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3402"/>
      </w:tblGrid>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 xml:space="preserve">Номер </w:t>
            </w:r>
            <w:proofErr w:type="spellStart"/>
            <w:r w:rsidRPr="00C55FAD">
              <w:rPr>
                <w:rFonts w:ascii="Times New Roman" w:hAnsi="Times New Roman" w:cs="Times New Roman"/>
                <w:sz w:val="24"/>
                <w:szCs w:val="24"/>
              </w:rPr>
              <w:t>проєкту</w:t>
            </w:r>
            <w:proofErr w:type="spellEnd"/>
            <w:r w:rsidRPr="00C55FAD">
              <w:rPr>
                <w:rFonts w:ascii="Times New Roman" w:hAnsi="Times New Roman" w:cs="Times New Roman"/>
                <w:sz w:val="24"/>
                <w:szCs w:val="24"/>
              </w:rPr>
              <w:t xml:space="preserve"> розвитку бізнесу</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Прізвище, ім’я експерта</w:t>
            </w: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b/>
                <w:sz w:val="24"/>
                <w:szCs w:val="24"/>
              </w:rPr>
            </w:pPr>
            <w:r w:rsidRPr="00C55FAD">
              <w:rPr>
                <w:rFonts w:ascii="Times New Roman" w:hAnsi="Times New Roman" w:cs="Times New Roman"/>
                <w:b/>
                <w:sz w:val="24"/>
                <w:szCs w:val="24"/>
              </w:rPr>
              <w:t>Критерії</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b/>
                <w:sz w:val="24"/>
                <w:szCs w:val="24"/>
              </w:rPr>
            </w:pPr>
            <w:r w:rsidRPr="00C55FAD">
              <w:rPr>
                <w:rFonts w:ascii="Times New Roman" w:hAnsi="Times New Roman" w:cs="Times New Roman"/>
                <w:b/>
                <w:sz w:val="24"/>
                <w:szCs w:val="24"/>
              </w:rPr>
              <w:t>Сума балів (максимум 5 балів, крок оцінювання 1 бал)</w:t>
            </w: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 xml:space="preserve">Вплив результатів реалізації </w:t>
            </w:r>
            <w:proofErr w:type="spellStart"/>
            <w:r w:rsidRPr="00C55FAD">
              <w:rPr>
                <w:rFonts w:ascii="Times New Roman" w:hAnsi="Times New Roman" w:cs="Times New Roman"/>
                <w:sz w:val="24"/>
                <w:szCs w:val="24"/>
              </w:rPr>
              <w:t>проєкту</w:t>
            </w:r>
            <w:proofErr w:type="spellEnd"/>
            <w:r w:rsidRPr="00C55FAD">
              <w:rPr>
                <w:rFonts w:ascii="Times New Roman" w:hAnsi="Times New Roman" w:cs="Times New Roman"/>
                <w:sz w:val="24"/>
                <w:szCs w:val="24"/>
              </w:rPr>
              <w:t xml:space="preserve"> на підвищення капіталізації бізнесу (створення інтелектуальної власності, залучення інвестицій, тощо)</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 xml:space="preserve">Вплив результатів реалізації </w:t>
            </w:r>
            <w:proofErr w:type="spellStart"/>
            <w:r w:rsidRPr="00C55FAD">
              <w:rPr>
                <w:rFonts w:ascii="Times New Roman" w:hAnsi="Times New Roman" w:cs="Times New Roman"/>
                <w:sz w:val="24"/>
                <w:szCs w:val="24"/>
              </w:rPr>
              <w:t>проєкту</w:t>
            </w:r>
            <w:proofErr w:type="spellEnd"/>
            <w:r w:rsidRPr="00C55FAD">
              <w:rPr>
                <w:rFonts w:ascii="Times New Roman" w:hAnsi="Times New Roman" w:cs="Times New Roman"/>
                <w:sz w:val="24"/>
                <w:szCs w:val="24"/>
              </w:rPr>
              <w:t xml:space="preserve"> на комерційний результат (збільшення обсягів продажів, зростання експорту, виведення на ринок нових продукції або послуг)</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 xml:space="preserve">Новизна </w:t>
            </w:r>
            <w:proofErr w:type="spellStart"/>
            <w:r w:rsidRPr="00C55FAD">
              <w:rPr>
                <w:rFonts w:ascii="Times New Roman" w:hAnsi="Times New Roman" w:cs="Times New Roman"/>
                <w:sz w:val="24"/>
                <w:szCs w:val="24"/>
              </w:rPr>
              <w:t>проєкту</w:t>
            </w:r>
            <w:proofErr w:type="spellEnd"/>
            <w:r w:rsidRPr="00C55FAD">
              <w:rPr>
                <w:rFonts w:ascii="Times New Roman" w:hAnsi="Times New Roman" w:cs="Times New Roman"/>
                <w:sz w:val="24"/>
                <w:szCs w:val="24"/>
              </w:rPr>
              <w:t xml:space="preserve"> (наскільки </w:t>
            </w:r>
            <w:proofErr w:type="spellStart"/>
            <w:r w:rsidRPr="00C55FAD">
              <w:rPr>
                <w:rFonts w:ascii="Times New Roman" w:hAnsi="Times New Roman" w:cs="Times New Roman"/>
                <w:sz w:val="24"/>
                <w:szCs w:val="24"/>
              </w:rPr>
              <w:t>проєкт</w:t>
            </w:r>
            <w:proofErr w:type="spellEnd"/>
            <w:r w:rsidRPr="00C55FAD">
              <w:rPr>
                <w:rFonts w:ascii="Times New Roman" w:hAnsi="Times New Roman" w:cs="Times New Roman"/>
                <w:sz w:val="24"/>
                <w:szCs w:val="24"/>
              </w:rPr>
              <w:t xml:space="preserve"> є новим для компанії)</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 xml:space="preserve">Затребуваність ваучера (необхідність підтримки для реалізації </w:t>
            </w:r>
            <w:proofErr w:type="spellStart"/>
            <w:r w:rsidRPr="00C55FAD">
              <w:rPr>
                <w:rFonts w:ascii="Times New Roman" w:hAnsi="Times New Roman" w:cs="Times New Roman"/>
                <w:sz w:val="24"/>
                <w:szCs w:val="24"/>
              </w:rPr>
              <w:t>проєкту</w:t>
            </w:r>
            <w:proofErr w:type="spellEnd"/>
            <w:r w:rsidRPr="00C55FAD">
              <w:rPr>
                <w:rFonts w:ascii="Times New Roman" w:hAnsi="Times New Roman" w:cs="Times New Roman"/>
                <w:sz w:val="24"/>
                <w:szCs w:val="24"/>
              </w:rPr>
              <w:t xml:space="preserve">) </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b/>
                <w:sz w:val="24"/>
                <w:szCs w:val="24"/>
              </w:rPr>
            </w:pPr>
            <w:r w:rsidRPr="00C55FAD">
              <w:rPr>
                <w:rFonts w:ascii="Times New Roman" w:hAnsi="Times New Roman" w:cs="Times New Roman"/>
                <w:b/>
                <w:sz w:val="24"/>
                <w:szCs w:val="24"/>
              </w:rPr>
              <w:t>Загальна кількість балів</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b/>
                <w:sz w:val="24"/>
                <w:szCs w:val="24"/>
              </w:rPr>
            </w:pPr>
            <w:r w:rsidRPr="00C55FAD">
              <w:rPr>
                <w:rFonts w:ascii="Times New Roman" w:hAnsi="Times New Roman" w:cs="Times New Roman"/>
                <w:b/>
                <w:sz w:val="24"/>
                <w:szCs w:val="24"/>
              </w:rPr>
              <w:t>Прізвище, ім’я, по батькові експерта</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b/>
                <w:sz w:val="24"/>
                <w:szCs w:val="24"/>
              </w:rPr>
            </w:pPr>
            <w:r w:rsidRPr="00C55FAD">
              <w:rPr>
                <w:rFonts w:ascii="Times New Roman" w:hAnsi="Times New Roman" w:cs="Times New Roman"/>
                <w:b/>
                <w:sz w:val="24"/>
                <w:szCs w:val="24"/>
              </w:rPr>
              <w:t>Підпис експерта</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p>
        </w:tc>
      </w:tr>
      <w:tr w:rsidR="00C55FAD" w:rsidRPr="00C55FAD" w:rsidTr="00C96B2D">
        <w:tc>
          <w:tcPr>
            <w:tcW w:w="6124" w:type="dxa"/>
          </w:tcPr>
          <w:p w:rsidR="00C55FAD" w:rsidRPr="00C55FAD" w:rsidRDefault="00C55FAD" w:rsidP="00C55FAD">
            <w:pPr>
              <w:tabs>
                <w:tab w:val="left" w:pos="5812"/>
              </w:tabs>
              <w:spacing w:after="0" w:line="240" w:lineRule="auto"/>
              <w:contextualSpacing/>
              <w:jc w:val="both"/>
              <w:rPr>
                <w:rFonts w:ascii="Times New Roman" w:hAnsi="Times New Roman" w:cs="Times New Roman"/>
                <w:b/>
                <w:sz w:val="24"/>
                <w:szCs w:val="24"/>
              </w:rPr>
            </w:pPr>
            <w:r w:rsidRPr="00C55FAD">
              <w:rPr>
                <w:rFonts w:ascii="Times New Roman" w:hAnsi="Times New Roman" w:cs="Times New Roman"/>
                <w:b/>
                <w:sz w:val="24"/>
                <w:szCs w:val="24"/>
              </w:rPr>
              <w:lastRenderedPageBreak/>
              <w:t>Коментар експерта</w:t>
            </w:r>
          </w:p>
        </w:tc>
        <w:tc>
          <w:tcPr>
            <w:tcW w:w="3402" w:type="dxa"/>
          </w:tcPr>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p>
        </w:tc>
      </w:tr>
    </w:tbl>
    <w:p w:rsidR="00C55FAD" w:rsidRPr="00C55FAD" w:rsidRDefault="00C55FAD" w:rsidP="00C55FAD">
      <w:pPr>
        <w:tabs>
          <w:tab w:val="left" w:pos="5812"/>
        </w:tabs>
        <w:spacing w:after="0" w:line="240" w:lineRule="auto"/>
        <w:contextualSpacing/>
        <w:jc w:val="both"/>
        <w:rPr>
          <w:rFonts w:ascii="Times New Roman" w:hAnsi="Times New Roman" w:cs="Times New Roman"/>
          <w:b/>
          <w:sz w:val="24"/>
          <w:szCs w:val="24"/>
        </w:rPr>
      </w:pPr>
      <w:r w:rsidRPr="00C55FAD">
        <w:rPr>
          <w:rFonts w:ascii="Times New Roman" w:hAnsi="Times New Roman" w:cs="Times New Roman"/>
          <w:b/>
          <w:sz w:val="24"/>
          <w:szCs w:val="24"/>
        </w:rPr>
        <w:t>Шкала оцінювання</w:t>
      </w:r>
    </w:p>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0 балів – відсутня інформація щодо впливу на даний критерій</w:t>
      </w:r>
    </w:p>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1 бал – інформацію щодо впливу на даний критерій подано неповно та непереконливо для оцінювання</w:t>
      </w:r>
    </w:p>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2 бали – слабкі сторони даного критерію видимі більше, ніж сильні</w:t>
      </w:r>
    </w:p>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 xml:space="preserve">3 бали – інформація щодо </w:t>
      </w:r>
      <w:proofErr w:type="spellStart"/>
      <w:r w:rsidRPr="00C55FAD">
        <w:rPr>
          <w:rFonts w:ascii="Times New Roman" w:hAnsi="Times New Roman" w:cs="Times New Roman"/>
          <w:sz w:val="24"/>
          <w:szCs w:val="24"/>
        </w:rPr>
        <w:t>проєкту</w:t>
      </w:r>
      <w:proofErr w:type="spellEnd"/>
      <w:r w:rsidRPr="00C55FAD">
        <w:rPr>
          <w:rFonts w:ascii="Times New Roman" w:hAnsi="Times New Roman" w:cs="Times New Roman"/>
          <w:sz w:val="24"/>
          <w:szCs w:val="24"/>
        </w:rPr>
        <w:t xml:space="preserve"> частково відповідає критерію оцінювання</w:t>
      </w:r>
    </w:p>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 xml:space="preserve">4 бали – інформація щодо </w:t>
      </w:r>
      <w:proofErr w:type="spellStart"/>
      <w:r w:rsidRPr="00C55FAD">
        <w:rPr>
          <w:rFonts w:ascii="Times New Roman" w:hAnsi="Times New Roman" w:cs="Times New Roman"/>
          <w:sz w:val="24"/>
          <w:szCs w:val="24"/>
        </w:rPr>
        <w:t>проєкту</w:t>
      </w:r>
      <w:proofErr w:type="spellEnd"/>
      <w:r w:rsidRPr="00C55FAD">
        <w:rPr>
          <w:rFonts w:ascii="Times New Roman" w:hAnsi="Times New Roman" w:cs="Times New Roman"/>
          <w:sz w:val="24"/>
          <w:szCs w:val="24"/>
        </w:rPr>
        <w:t xml:space="preserve"> має чіткі риси, які вказують на те, що </w:t>
      </w:r>
      <w:proofErr w:type="spellStart"/>
      <w:r w:rsidRPr="00C55FAD">
        <w:rPr>
          <w:rFonts w:ascii="Times New Roman" w:hAnsi="Times New Roman" w:cs="Times New Roman"/>
          <w:sz w:val="24"/>
          <w:szCs w:val="24"/>
        </w:rPr>
        <w:t>проєкт</w:t>
      </w:r>
      <w:proofErr w:type="spellEnd"/>
      <w:r w:rsidRPr="00C55FAD">
        <w:rPr>
          <w:rFonts w:ascii="Times New Roman" w:hAnsi="Times New Roman" w:cs="Times New Roman"/>
          <w:sz w:val="24"/>
          <w:szCs w:val="24"/>
        </w:rPr>
        <w:t xml:space="preserve"> відповідає даному критерію</w:t>
      </w:r>
    </w:p>
    <w:p w:rsidR="00C55FAD" w:rsidRPr="00C55FAD" w:rsidRDefault="00C55FAD" w:rsidP="00C55FAD">
      <w:pPr>
        <w:tabs>
          <w:tab w:val="left" w:pos="5812"/>
        </w:tabs>
        <w:spacing w:after="0" w:line="240" w:lineRule="auto"/>
        <w:contextualSpacing/>
        <w:jc w:val="both"/>
        <w:rPr>
          <w:rFonts w:ascii="Times New Roman" w:hAnsi="Times New Roman" w:cs="Times New Roman"/>
          <w:sz w:val="24"/>
          <w:szCs w:val="24"/>
        </w:rPr>
      </w:pPr>
      <w:r w:rsidRPr="00C55FAD">
        <w:rPr>
          <w:rFonts w:ascii="Times New Roman" w:hAnsi="Times New Roman" w:cs="Times New Roman"/>
          <w:sz w:val="24"/>
          <w:szCs w:val="24"/>
        </w:rPr>
        <w:t xml:space="preserve">5 балів – інформація щодо </w:t>
      </w:r>
      <w:proofErr w:type="spellStart"/>
      <w:r w:rsidRPr="00C55FAD">
        <w:rPr>
          <w:rFonts w:ascii="Times New Roman" w:hAnsi="Times New Roman" w:cs="Times New Roman"/>
          <w:sz w:val="24"/>
          <w:szCs w:val="24"/>
        </w:rPr>
        <w:t>проєкту</w:t>
      </w:r>
      <w:proofErr w:type="spellEnd"/>
      <w:r w:rsidRPr="00C55FAD">
        <w:rPr>
          <w:rFonts w:ascii="Times New Roman" w:hAnsi="Times New Roman" w:cs="Times New Roman"/>
          <w:sz w:val="24"/>
          <w:szCs w:val="24"/>
        </w:rPr>
        <w:t xml:space="preserve"> є досконалою відповідно до даного критерію</w:t>
      </w:r>
    </w:p>
    <w:p w:rsidR="00C55FAD" w:rsidRDefault="00C55FAD" w:rsidP="00C55FAD">
      <w:pPr>
        <w:tabs>
          <w:tab w:val="left" w:pos="5812"/>
        </w:tabs>
        <w:spacing w:after="0" w:line="240" w:lineRule="auto"/>
        <w:ind w:firstLine="567"/>
        <w:contextualSpacing/>
        <w:jc w:val="both"/>
        <w:rPr>
          <w:rFonts w:ascii="Times New Roman" w:hAnsi="Times New Roman" w:cs="Times New Roman"/>
          <w:sz w:val="24"/>
          <w:szCs w:val="24"/>
        </w:rPr>
      </w:pPr>
    </w:p>
    <w:p w:rsidR="00C55FAD" w:rsidRPr="000E29EA" w:rsidRDefault="00C55FAD" w:rsidP="00C55FAD">
      <w:pPr>
        <w:tabs>
          <w:tab w:val="left" w:pos="5812"/>
        </w:tabs>
        <w:spacing w:after="0" w:line="240" w:lineRule="auto"/>
        <w:ind w:firstLine="567"/>
        <w:contextualSpacing/>
        <w:jc w:val="both"/>
        <w:rPr>
          <w:rFonts w:ascii="Times New Roman" w:hAnsi="Times New Roman" w:cs="Times New Roman"/>
          <w:sz w:val="24"/>
          <w:szCs w:val="24"/>
        </w:rPr>
      </w:pP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Після закінчення процесу оцінювання </w:t>
      </w:r>
      <w:proofErr w:type="spellStart"/>
      <w:r w:rsidRPr="000E29EA">
        <w:rPr>
          <w:rFonts w:ascii="Times New Roman" w:hAnsi="Times New Roman" w:cs="Times New Roman"/>
          <w:sz w:val="24"/>
          <w:szCs w:val="24"/>
        </w:rPr>
        <w:t>проєктів</w:t>
      </w:r>
      <w:proofErr w:type="spellEnd"/>
      <w:r w:rsidRPr="000E29EA">
        <w:rPr>
          <w:rFonts w:ascii="Times New Roman" w:hAnsi="Times New Roman" w:cs="Times New Roman"/>
          <w:sz w:val="24"/>
          <w:szCs w:val="24"/>
        </w:rPr>
        <w:t xml:space="preserve"> розвитку бізнесу експертна комісія визначає середній арифметичний бал кожного </w:t>
      </w:r>
      <w:proofErr w:type="spellStart"/>
      <w:r w:rsidRPr="000E29EA">
        <w:rPr>
          <w:rFonts w:ascii="Times New Roman" w:hAnsi="Times New Roman" w:cs="Times New Roman"/>
          <w:sz w:val="24"/>
          <w:szCs w:val="24"/>
        </w:rPr>
        <w:t>проєкту</w:t>
      </w:r>
      <w:proofErr w:type="spellEnd"/>
      <w:r w:rsidRPr="000E29EA">
        <w:rPr>
          <w:rFonts w:ascii="Times New Roman" w:hAnsi="Times New Roman" w:cs="Times New Roman"/>
          <w:sz w:val="24"/>
          <w:szCs w:val="24"/>
        </w:rPr>
        <w:t xml:space="preserve"> згідно з поданими експертами формами оцінювання. </w:t>
      </w:r>
      <w:proofErr w:type="spellStart"/>
      <w:r w:rsidRPr="000E29EA">
        <w:rPr>
          <w:rFonts w:ascii="Times New Roman" w:hAnsi="Times New Roman" w:cs="Times New Roman"/>
          <w:sz w:val="24"/>
          <w:szCs w:val="24"/>
        </w:rPr>
        <w:t>Проєкт</w:t>
      </w:r>
      <w:proofErr w:type="spellEnd"/>
      <w:r w:rsidRPr="000E29EA">
        <w:rPr>
          <w:rFonts w:ascii="Times New Roman" w:hAnsi="Times New Roman" w:cs="Times New Roman"/>
          <w:sz w:val="24"/>
          <w:szCs w:val="24"/>
        </w:rPr>
        <w:t xml:space="preserve"> розвитку бізнесу, який набрав менше ніж 50% від максимально можливої кількості балів, не може бути визнаний переможцем у конкурсі.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Результати оцінювання щодо кожного </w:t>
      </w:r>
      <w:proofErr w:type="spellStart"/>
      <w:r w:rsidRPr="000E29EA">
        <w:rPr>
          <w:rFonts w:ascii="Times New Roman" w:hAnsi="Times New Roman" w:cs="Times New Roman"/>
          <w:sz w:val="24"/>
          <w:szCs w:val="24"/>
        </w:rPr>
        <w:t>проєкту</w:t>
      </w:r>
      <w:proofErr w:type="spellEnd"/>
      <w:r w:rsidRPr="000E29EA">
        <w:rPr>
          <w:rFonts w:ascii="Times New Roman" w:hAnsi="Times New Roman" w:cs="Times New Roman"/>
          <w:sz w:val="24"/>
          <w:szCs w:val="24"/>
        </w:rPr>
        <w:t xml:space="preserve"> розвитку бізнесу оприлюднюються на засіданні експертної комісії, на якому і приймається рішення про надання ваучерів тим суб’єктам господарювання, </w:t>
      </w:r>
      <w:proofErr w:type="spellStart"/>
      <w:r w:rsidRPr="000E29EA">
        <w:rPr>
          <w:rFonts w:ascii="Times New Roman" w:hAnsi="Times New Roman" w:cs="Times New Roman"/>
          <w:sz w:val="24"/>
          <w:szCs w:val="24"/>
        </w:rPr>
        <w:t>проєкти</w:t>
      </w:r>
      <w:proofErr w:type="spellEnd"/>
      <w:r w:rsidRPr="000E29EA">
        <w:rPr>
          <w:rFonts w:ascii="Times New Roman" w:hAnsi="Times New Roman" w:cs="Times New Roman"/>
          <w:sz w:val="24"/>
          <w:szCs w:val="24"/>
        </w:rPr>
        <w:t xml:space="preserve"> розвитку бізнесу яких набрали найбільше балів. Департамент економічної політики формує рейтинговий список усіх суб'єктів господарювання, </w:t>
      </w:r>
      <w:proofErr w:type="spellStart"/>
      <w:r w:rsidRPr="000E29EA">
        <w:rPr>
          <w:rFonts w:ascii="Times New Roman" w:hAnsi="Times New Roman" w:cs="Times New Roman"/>
          <w:sz w:val="24"/>
          <w:szCs w:val="24"/>
        </w:rPr>
        <w:t>проєкти</w:t>
      </w:r>
      <w:proofErr w:type="spellEnd"/>
      <w:r w:rsidRPr="000E29EA">
        <w:rPr>
          <w:rFonts w:ascii="Times New Roman" w:hAnsi="Times New Roman" w:cs="Times New Roman"/>
          <w:sz w:val="24"/>
          <w:szCs w:val="24"/>
        </w:rPr>
        <w:t xml:space="preserve"> розвитку бізнесу яких були оцінені в рамках Програми. За результатами засідання складається протокол засідання, що підписують члени комісії.</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Кількість переможців у конкурсі обмежується обсягом фінансування по Завданню 2 Програми. Якщо декілька суб’єктів господарювання набрали однакову кількість балів, а обсяг фінансування не дозволяє їх усіх визнати переможцями, то переможцями є ті суб’єкти господарювання, які швидше подали документи на конкурс. </w:t>
      </w:r>
    </w:p>
    <w:p w:rsidR="000E29EA" w:rsidRPr="000E29EA" w:rsidRDefault="000E29EA" w:rsidP="00C55FAD">
      <w:pPr>
        <w:spacing w:after="0" w:line="240" w:lineRule="auto"/>
        <w:ind w:firstLine="567"/>
        <w:contextualSpacing/>
        <w:jc w:val="both"/>
        <w:rPr>
          <w:rFonts w:ascii="Times New Roman" w:hAnsi="Times New Roman" w:cs="Times New Roman"/>
          <w:sz w:val="24"/>
          <w:szCs w:val="24"/>
        </w:rPr>
      </w:pP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b/>
          <w:sz w:val="24"/>
          <w:szCs w:val="24"/>
        </w:rPr>
      </w:pPr>
      <w:r w:rsidRPr="000E29EA">
        <w:rPr>
          <w:rFonts w:ascii="Times New Roman" w:hAnsi="Times New Roman" w:cs="Times New Roman"/>
          <w:b/>
          <w:sz w:val="24"/>
          <w:szCs w:val="24"/>
        </w:rPr>
        <w:t>Надання ваучерів</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Після проведення конкурсу та визначення його результатів департамент економічної політики впродовж 10 робочих днів видає керівникові суб'єкта господарювання, який переміг у конкурсі, витяг з протоколу експертної комісії (ваучер) – право на відшкодування до 70% вартості робіт і послуг перекваліфікованої сервісної компанії.</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Після отримання витягу з протоколу експертної комісії про результати конкурсу (ваучера), суб'єкт господарювання може укласти із перекваліфікованою сервісною компанією договір на виконання робіт чи надання послуг відповідно до комерційних пропозицій, які були подані на конкурс, здійснити 100% оплату за виконані роботи чи надані послуги і отримати їх від перекваліфікованої сервісної компанії в повному обсязі. </w:t>
      </w:r>
    </w:p>
    <w:p w:rsid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p>
    <w:p w:rsidR="00C55FAD" w:rsidRPr="00C55FAD" w:rsidRDefault="00C55FAD" w:rsidP="00C55FAD">
      <w:pPr>
        <w:tabs>
          <w:tab w:val="left" w:pos="5812"/>
        </w:tabs>
        <w:spacing w:after="0" w:line="240" w:lineRule="auto"/>
        <w:ind w:firstLine="567"/>
        <w:contextualSpacing/>
        <w:jc w:val="both"/>
        <w:rPr>
          <w:rFonts w:ascii="Times New Roman" w:hAnsi="Times New Roman" w:cs="Times New Roman"/>
          <w:b/>
          <w:sz w:val="24"/>
          <w:szCs w:val="24"/>
        </w:rPr>
      </w:pPr>
      <w:r w:rsidRPr="00C55FAD">
        <w:rPr>
          <w:rFonts w:ascii="Times New Roman" w:hAnsi="Times New Roman" w:cs="Times New Roman"/>
          <w:b/>
          <w:sz w:val="24"/>
          <w:szCs w:val="24"/>
        </w:rPr>
        <w:t>МЕХАНІЗМ ВІДШКОДУВАННЯ</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b/>
          <w:sz w:val="24"/>
          <w:szCs w:val="24"/>
        </w:rPr>
      </w:pPr>
      <w:r w:rsidRPr="000E29EA">
        <w:rPr>
          <w:rFonts w:ascii="Times New Roman" w:hAnsi="Times New Roman" w:cs="Times New Roman"/>
          <w:b/>
          <w:sz w:val="24"/>
          <w:szCs w:val="24"/>
        </w:rPr>
        <w:t>Відшкодування ваучера</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Упродовж 2 (двох) місяців від дня отримання витягу протоколу експертної комісії про результати конкурсу (ваучера) суб'єкт господарювання може звернутися до департаменту економічної політики Львівської обласної державної адміністрації із заявою для отримання відшкодування ваучера на роботи і послуги перекваліфікованої сервісної компанії у розмірі до 70% його вартості.</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Разом із заявою для отримання відшкодування, суб'єкт господарювання повинен подати до департаменту економічної політики документи, які підтверджують належне виконання робіт чи надання послуг, а саме:</w:t>
      </w:r>
    </w:p>
    <w:p w:rsidR="000E29EA" w:rsidRPr="000E29EA" w:rsidRDefault="000E29EA" w:rsidP="00C55FAD">
      <w:pPr>
        <w:pStyle w:val="a3"/>
        <w:tabs>
          <w:tab w:val="left" w:pos="5812"/>
        </w:tabs>
        <w:suppressAutoHyphens w:val="0"/>
        <w:spacing w:after="0" w:line="240" w:lineRule="auto"/>
        <w:ind w:left="0"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1. Договір на виконання робіт чи надання послуг із перекваліфікованою сервісною компанією.</w:t>
      </w:r>
    </w:p>
    <w:p w:rsidR="000E29EA" w:rsidRPr="000E29EA" w:rsidRDefault="000E29EA" w:rsidP="00C55FAD">
      <w:pPr>
        <w:pStyle w:val="a3"/>
        <w:tabs>
          <w:tab w:val="left" w:pos="5812"/>
        </w:tabs>
        <w:suppressAutoHyphens w:val="0"/>
        <w:spacing w:after="0" w:line="240" w:lineRule="auto"/>
        <w:ind w:left="0"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2. Документ, який підтверджує виконання договору (акт приймання-передачі виконаних робіт чи наданих послуг).</w:t>
      </w:r>
    </w:p>
    <w:p w:rsidR="000E29EA" w:rsidRPr="000E29EA" w:rsidRDefault="000E29EA" w:rsidP="00C55FAD">
      <w:pPr>
        <w:pStyle w:val="a3"/>
        <w:tabs>
          <w:tab w:val="left" w:pos="5812"/>
        </w:tabs>
        <w:suppressAutoHyphens w:val="0"/>
        <w:spacing w:after="0" w:line="240" w:lineRule="auto"/>
        <w:ind w:left="0"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3. Документ, який підтверджує 100% здійснення оплати перекваліфікованій сервісній компанії (банківська виписка, платіжне доручення тощо).</w:t>
      </w:r>
    </w:p>
    <w:p w:rsidR="000E29EA" w:rsidRPr="000E29EA" w:rsidRDefault="000E29EA" w:rsidP="00C55FAD">
      <w:pPr>
        <w:pStyle w:val="a3"/>
        <w:tabs>
          <w:tab w:val="left" w:pos="5812"/>
        </w:tabs>
        <w:suppressAutoHyphens w:val="0"/>
        <w:spacing w:after="0" w:line="240" w:lineRule="auto"/>
        <w:ind w:left="0"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lastRenderedPageBreak/>
        <w:t>4. Копію результатів виконання договору (якщо це можливо).</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Експертна комісія не пізніше ніж через 3 (три) місяці від дня оголошення результатів конкурсу із отримання ваучерів проводить засідання для розгляду документів суб'єктів господарювання, які отримали витяги протоколу експертної комісії про результати конкурсу (ваучери).</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Експертна комісія перевіряє документи на відповідність вимогам Завдання 3 цієї Програми та приймає рішення щодо можливості відшкодування до 70% вартості робіт і послуг перекваліфікованої сервісної компанії.</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У випадку прийняття експертною комісією рішення про надання безповоротної фінансової допомоги, воно затверджується на підставі протоколу експортної комісії розпорядженням начальника Львівської обласної військової адміністрації.</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Департамент економічної політики Львівської обласної державної адміністрації укладає договір із суб'єктом господарювання про відшкодування  (надання безповоротної фінансової допомоги) із зазначенням конкретної суми за формою, визначеною в додатку 6 до Завдання 2 цієї Програми.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Впродовж 3 (трьох) банківських днів від дати одержання фінансування департамент економічної політики Львівської обласної державної адміністрації перераховує на розрахунковий рахунок суб'єкта господарювання суму відшкодування, визначену в договорі.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b/>
          <w:sz w:val="24"/>
          <w:szCs w:val="24"/>
        </w:rPr>
      </w:pPr>
      <w:r w:rsidRPr="000E29EA">
        <w:rPr>
          <w:rFonts w:ascii="Times New Roman" w:hAnsi="Times New Roman" w:cs="Times New Roman"/>
          <w:b/>
          <w:sz w:val="24"/>
          <w:szCs w:val="24"/>
        </w:rPr>
        <w:t>Комунікація отриманого ваучера</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Суб’єкти господарювання зобов’язані на всіх матеріалах, розроблених за рахунок ваучера, розміщувати повідомлення такого змісту: «Цей матеріал розроблено за рахунок ваучера, який отриманий у рамках Програми підтримки бізнесу Львівської області на період воєнного стану». </w:t>
      </w:r>
    </w:p>
    <w:p w:rsidR="000E29EA" w:rsidRPr="000E29EA" w:rsidRDefault="000E29EA" w:rsidP="00C55FAD">
      <w:pPr>
        <w:pStyle w:val="a3"/>
        <w:tabs>
          <w:tab w:val="left" w:pos="5812"/>
        </w:tabs>
        <w:suppressAutoHyphens w:val="0"/>
        <w:spacing w:after="0" w:line="240" w:lineRule="auto"/>
        <w:ind w:left="0" w:firstLine="567"/>
        <w:contextualSpacing/>
        <w:jc w:val="both"/>
        <w:rPr>
          <w:rFonts w:ascii="Times New Roman" w:hAnsi="Times New Roman" w:cs="Times New Roman"/>
          <w:sz w:val="24"/>
          <w:szCs w:val="24"/>
        </w:rPr>
      </w:pP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b/>
          <w:sz w:val="24"/>
          <w:szCs w:val="24"/>
        </w:rPr>
      </w:pPr>
      <w:r w:rsidRPr="000E29EA">
        <w:rPr>
          <w:rFonts w:ascii="Times New Roman" w:hAnsi="Times New Roman" w:cs="Times New Roman"/>
          <w:b/>
          <w:sz w:val="24"/>
          <w:szCs w:val="24"/>
        </w:rPr>
        <w:t>Оцінка ефективності впровадження ваучерної підтримки бізнесу</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 xml:space="preserve">Оцінка ефективності ваучерної підтримки бізнесу вимірюватиметься шляхом проведення порівняльної оцінки стану компаній-отримувачів ваучерів до моменту отримання ваучерної підтримки (початковий стан) з інформацією про стан компаній через два роки після використання ваучера. </w:t>
      </w:r>
    </w:p>
    <w:p w:rsidR="000E29EA" w:rsidRPr="000E29EA" w:rsidRDefault="000E29EA" w:rsidP="00C55FAD">
      <w:pPr>
        <w:tabs>
          <w:tab w:val="left" w:pos="5812"/>
        </w:tabs>
        <w:spacing w:after="0" w:line="240" w:lineRule="auto"/>
        <w:ind w:firstLine="567"/>
        <w:contextualSpacing/>
        <w:jc w:val="both"/>
        <w:rPr>
          <w:rFonts w:ascii="Times New Roman" w:hAnsi="Times New Roman" w:cs="Times New Roman"/>
          <w:sz w:val="24"/>
          <w:szCs w:val="24"/>
        </w:rPr>
      </w:pPr>
      <w:r w:rsidRPr="000E29EA">
        <w:rPr>
          <w:rFonts w:ascii="Times New Roman" w:hAnsi="Times New Roman" w:cs="Times New Roman"/>
          <w:sz w:val="24"/>
          <w:szCs w:val="24"/>
        </w:rPr>
        <w:t>Суб'єкти господарювання, які отримали ваучер, зобов’язані в місячний термін після закінчення 2 років з моменту його отримання подати до департаменту економічної політики Львівської обласної державної адміністрації показники фінансово-господарської діяльності за ф</w:t>
      </w:r>
      <w:r w:rsidR="003849B7">
        <w:rPr>
          <w:rFonts w:ascii="Times New Roman" w:hAnsi="Times New Roman" w:cs="Times New Roman"/>
          <w:sz w:val="24"/>
          <w:szCs w:val="24"/>
        </w:rPr>
        <w:t xml:space="preserve">ормою. </w:t>
      </w:r>
    </w:p>
    <w:p w:rsidR="003849B7" w:rsidRPr="003849B7" w:rsidRDefault="003849B7" w:rsidP="003849B7">
      <w:pPr>
        <w:spacing w:after="0" w:line="240" w:lineRule="auto"/>
        <w:contextualSpacing/>
        <w:jc w:val="center"/>
        <w:rPr>
          <w:rFonts w:ascii="Times New Roman" w:hAnsi="Times New Roman" w:cs="Times New Roman"/>
          <w:b/>
          <w:sz w:val="24"/>
          <w:szCs w:val="24"/>
        </w:rPr>
      </w:pPr>
      <w:bookmarkStart w:id="0" w:name="_GoBack"/>
      <w:r w:rsidRPr="003849B7">
        <w:rPr>
          <w:rFonts w:ascii="Times New Roman" w:hAnsi="Times New Roman" w:cs="Times New Roman"/>
          <w:b/>
          <w:sz w:val="24"/>
          <w:szCs w:val="24"/>
        </w:rPr>
        <w:t>Форма подання показників фінансово-господарської діяльності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3246"/>
        <w:gridCol w:w="3246"/>
      </w:tblGrid>
      <w:tr w:rsidR="003849B7" w:rsidRPr="003849B7" w:rsidTr="003849B7">
        <w:tc>
          <w:tcPr>
            <w:tcW w:w="3135" w:type="dxa"/>
          </w:tcPr>
          <w:p w:rsidR="003849B7" w:rsidRPr="003849B7" w:rsidRDefault="003849B7" w:rsidP="003849B7">
            <w:pPr>
              <w:tabs>
                <w:tab w:val="left" w:pos="5812"/>
              </w:tabs>
              <w:spacing w:after="0" w:line="240" w:lineRule="auto"/>
              <w:contextualSpacing/>
              <w:jc w:val="center"/>
              <w:rPr>
                <w:rFonts w:ascii="Times New Roman" w:hAnsi="Times New Roman" w:cs="Times New Roman"/>
                <w:b/>
                <w:sz w:val="24"/>
                <w:szCs w:val="24"/>
              </w:rPr>
            </w:pPr>
            <w:r w:rsidRPr="003849B7">
              <w:rPr>
                <w:rFonts w:ascii="Times New Roman" w:hAnsi="Times New Roman" w:cs="Times New Roman"/>
                <w:b/>
                <w:sz w:val="24"/>
                <w:szCs w:val="24"/>
              </w:rPr>
              <w:t>Показник</w:t>
            </w:r>
          </w:p>
        </w:tc>
        <w:tc>
          <w:tcPr>
            <w:tcW w:w="3246" w:type="dxa"/>
          </w:tcPr>
          <w:p w:rsidR="003849B7" w:rsidRPr="003849B7" w:rsidRDefault="003849B7" w:rsidP="003849B7">
            <w:pPr>
              <w:tabs>
                <w:tab w:val="left" w:pos="5812"/>
              </w:tabs>
              <w:spacing w:after="0" w:line="240" w:lineRule="auto"/>
              <w:contextualSpacing/>
              <w:jc w:val="center"/>
              <w:rPr>
                <w:rFonts w:ascii="Times New Roman" w:hAnsi="Times New Roman" w:cs="Times New Roman"/>
                <w:b/>
                <w:sz w:val="24"/>
                <w:szCs w:val="24"/>
              </w:rPr>
            </w:pPr>
            <w:r w:rsidRPr="003849B7">
              <w:rPr>
                <w:rFonts w:ascii="Times New Roman" w:hAnsi="Times New Roman" w:cs="Times New Roman"/>
                <w:b/>
                <w:sz w:val="24"/>
                <w:szCs w:val="24"/>
              </w:rPr>
              <w:t>1 рік після отримання ваучера</w:t>
            </w:r>
          </w:p>
        </w:tc>
        <w:tc>
          <w:tcPr>
            <w:tcW w:w="3246" w:type="dxa"/>
          </w:tcPr>
          <w:p w:rsidR="003849B7" w:rsidRPr="003849B7" w:rsidRDefault="003849B7" w:rsidP="003849B7">
            <w:pPr>
              <w:tabs>
                <w:tab w:val="left" w:pos="5812"/>
              </w:tabs>
              <w:spacing w:after="0" w:line="240" w:lineRule="auto"/>
              <w:contextualSpacing/>
              <w:jc w:val="center"/>
              <w:rPr>
                <w:rFonts w:ascii="Times New Roman" w:hAnsi="Times New Roman" w:cs="Times New Roman"/>
                <w:b/>
                <w:sz w:val="24"/>
                <w:szCs w:val="24"/>
              </w:rPr>
            </w:pPr>
            <w:r w:rsidRPr="003849B7">
              <w:rPr>
                <w:rFonts w:ascii="Times New Roman" w:hAnsi="Times New Roman" w:cs="Times New Roman"/>
                <w:b/>
                <w:sz w:val="24"/>
                <w:szCs w:val="24"/>
              </w:rPr>
              <w:t>2 рік після отримання ваучера</w:t>
            </w:r>
          </w:p>
        </w:tc>
      </w:tr>
      <w:tr w:rsidR="003849B7" w:rsidRPr="003849B7" w:rsidTr="003849B7">
        <w:tc>
          <w:tcPr>
            <w:tcW w:w="3135"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r w:rsidRPr="003849B7">
              <w:rPr>
                <w:rFonts w:ascii="Times New Roman" w:hAnsi="Times New Roman" w:cs="Times New Roman"/>
                <w:sz w:val="24"/>
                <w:szCs w:val="24"/>
              </w:rPr>
              <w:t>Річний дохід, грн</w:t>
            </w:r>
          </w:p>
        </w:tc>
        <w:tc>
          <w:tcPr>
            <w:tcW w:w="3246"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p>
        </w:tc>
        <w:tc>
          <w:tcPr>
            <w:tcW w:w="3246"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p>
        </w:tc>
      </w:tr>
      <w:tr w:rsidR="003849B7" w:rsidRPr="003849B7" w:rsidTr="003849B7">
        <w:tc>
          <w:tcPr>
            <w:tcW w:w="3135"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r w:rsidRPr="003849B7">
              <w:rPr>
                <w:rFonts w:ascii="Times New Roman" w:hAnsi="Times New Roman" w:cs="Times New Roman"/>
                <w:sz w:val="24"/>
                <w:szCs w:val="24"/>
              </w:rPr>
              <w:t xml:space="preserve">Обсяг експорту, грн </w:t>
            </w:r>
          </w:p>
        </w:tc>
        <w:tc>
          <w:tcPr>
            <w:tcW w:w="3246"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p>
        </w:tc>
        <w:tc>
          <w:tcPr>
            <w:tcW w:w="3246"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p>
        </w:tc>
      </w:tr>
      <w:tr w:rsidR="003849B7" w:rsidRPr="003849B7" w:rsidTr="003849B7">
        <w:tc>
          <w:tcPr>
            <w:tcW w:w="3135"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r w:rsidRPr="003849B7">
              <w:rPr>
                <w:rFonts w:ascii="Times New Roman" w:hAnsi="Times New Roman" w:cs="Times New Roman"/>
                <w:sz w:val="24"/>
                <w:szCs w:val="24"/>
              </w:rPr>
              <w:t>Нові види продукції або послуг</w:t>
            </w:r>
          </w:p>
        </w:tc>
        <w:tc>
          <w:tcPr>
            <w:tcW w:w="3246"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p>
        </w:tc>
        <w:tc>
          <w:tcPr>
            <w:tcW w:w="3246" w:type="dxa"/>
          </w:tcPr>
          <w:p w:rsidR="003849B7" w:rsidRPr="003849B7" w:rsidRDefault="003849B7" w:rsidP="003849B7">
            <w:pPr>
              <w:tabs>
                <w:tab w:val="left" w:pos="5812"/>
              </w:tabs>
              <w:spacing w:after="0" w:line="240" w:lineRule="auto"/>
              <w:contextualSpacing/>
              <w:jc w:val="both"/>
              <w:rPr>
                <w:rFonts w:ascii="Times New Roman" w:hAnsi="Times New Roman" w:cs="Times New Roman"/>
                <w:sz w:val="24"/>
                <w:szCs w:val="24"/>
              </w:rPr>
            </w:pPr>
          </w:p>
        </w:tc>
      </w:tr>
      <w:bookmarkEnd w:id="0"/>
    </w:tbl>
    <w:p w:rsidR="00A755CE" w:rsidRPr="000E29EA" w:rsidRDefault="00A755CE" w:rsidP="00C55FAD">
      <w:pPr>
        <w:spacing w:after="0" w:line="240" w:lineRule="auto"/>
        <w:ind w:firstLine="567"/>
        <w:contextualSpacing/>
        <w:rPr>
          <w:rFonts w:ascii="Times New Roman" w:hAnsi="Times New Roman" w:cs="Times New Roman"/>
          <w:sz w:val="24"/>
          <w:szCs w:val="24"/>
        </w:rPr>
      </w:pPr>
    </w:p>
    <w:sectPr w:rsidR="00A755CE" w:rsidRPr="000E29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326">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CE"/>
    <w:rsid w:val="000E29EA"/>
    <w:rsid w:val="003849B7"/>
    <w:rsid w:val="00A755CE"/>
    <w:rsid w:val="00C44215"/>
    <w:rsid w:val="00C55F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C06E-3C37-4B86-B5AC-F91DC903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29EA"/>
    <w:pPr>
      <w:suppressAutoHyphens/>
      <w:spacing w:after="200" w:line="276" w:lineRule="auto"/>
      <w:ind w:left="720"/>
    </w:pPr>
    <w:rPr>
      <w:rFonts w:ascii="Calibri" w:eastAsia="Times New Roman" w:hAnsi="Calibri" w:cs="font326"/>
      <w:kern w:val="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5526</Words>
  <Characters>3150</Characters>
  <Application>Microsoft Office Word</Application>
  <DocSecurity>0</DocSecurity>
  <Lines>26</Lines>
  <Paragraphs>17</Paragraphs>
  <ScaleCrop>false</ScaleCrop>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2022-04-27T10:43:00Z</dcterms:created>
  <dcterms:modified xsi:type="dcterms:W3CDTF">2022-04-27T10:55:00Z</dcterms:modified>
</cp:coreProperties>
</file>